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spacing w:line="540" w:lineRule="exact"/>
        <w:jc w:val="left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>附件</w:t>
      </w:r>
    </w:p>
    <w:p>
      <w:pPr>
        <w:spacing w:afterLines="50" w:after="156"/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>
        <w:rPr>
          <w:rFonts w:ascii="仿宋" w:eastAsia="仿宋" w:hAnsi="仿宋"/>
          <w:b/>
          <w:bCs/>
          <w:color w:val="000000"/>
          <w:sz w:val="36"/>
          <w:szCs w:val="36"/>
        </w:rPr>
        <w:t>6月主要蔬菜品种地头价监测表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693"/>
        <w:gridCol w:w="1880"/>
        <w:gridCol w:w="1848"/>
      </w:tblGrid>
      <w:tr>
        <w:trPr>
          <w:cantSplit/>
          <w:trHeight w:val="567"/>
          <w:tblHeader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Cs w:val="32"/>
              </w:rPr>
            </w:pPr>
            <w:bookmarkStart w:id="0" w:name="_Hlk97023295"/>
            <w:r>
              <w:rPr>
                <w:rFonts w:ascii="仿宋" w:eastAsia="仿宋" w:hAnsi="仿宋"/>
                <w:b/>
                <w:bCs/>
                <w:color w:val="000000"/>
                <w:szCs w:val="32"/>
              </w:rPr>
              <w:t>蔬菜种类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/>
                <w:b/>
                <w:bCs/>
                <w:color w:val="000000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32"/>
              </w:rPr>
              <w:t>地头价（元/公斤）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32"/>
              </w:rPr>
              <w:t>同比（%）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32"/>
              </w:rPr>
              <w:t>环比（%）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冬瓜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0.94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-9.62%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-46.89%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番茄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2.56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3.64%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C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-41.28%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豇豆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3.14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-12.29%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67C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-40.98%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圆茄子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1.63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10.88%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67C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-40.73%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洋葱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1.13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382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-19.86%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-38.92%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长茄子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2.20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87B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16.40%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37F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-31.68%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辣椒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3.38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55.76%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1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-25.39%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西芹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1.58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-4.82%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-18.97%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黄瓜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1.51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-24.88%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-18.38%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南瓜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0.85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-24.11%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9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-16.67%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青花菜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3.09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-12.22%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-16.26%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大白菜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0.94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4.44%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-16.07%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胡萝卜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1.50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-26.47%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-15.73%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菜豆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4.08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5.43%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-15.70%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结球甘蓝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0.77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C75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30.51%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-12.50%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丝瓜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2.95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6.12%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-11.94%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苦瓜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3.60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C78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22.45%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-11.55%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西葫芦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1.21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-2.42%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-7.63%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lastRenderedPageBreak/>
              <w:t>菠菜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1.51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CF7E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-49.16%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-7.36%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普通白菜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1.62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-10.00%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-3.57%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大蒜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3.33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0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-32.73%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A7E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-2.35%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莴笋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1.65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-4.62%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77D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-1.20%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韭菜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2.19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25.14%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2.82%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1.41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-75.04%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2.92%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莲藕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4.74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-24.40%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7.73%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萝卜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1.49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D6F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46.08%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170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26.27%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松花菜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2.42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-10.37%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E6C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33.70%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大葱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1.26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-29.21%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35.48%</w:t>
            </w:r>
          </w:p>
        </w:tc>
      </w:tr>
      <w:tr>
        <w:trPr>
          <w:cantSplit/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月均价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 xml:space="preserve">1.91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-11.98%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</w:tcPr>
          <w:p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30"/>
                <w:szCs w:val="30"/>
              </w:rPr>
              <w:t>-16.96%</w:t>
            </w:r>
          </w:p>
        </w:tc>
      </w:tr>
      <w:bookmarkEnd w:id="0"/>
    </w:tbl>
    <w:p>
      <w:pPr>
        <w:snapToGrid w:val="0"/>
        <w:spacing w:line="600" w:lineRule="exact"/>
        <w:ind w:firstLineChars="200" w:firstLine="640"/>
        <w:rPr>
          <w:rFonts w:ascii="Times New Roman" w:hAnsi="Times New Roman"/>
          <w:color w:val="000000"/>
        </w:rPr>
      </w:pPr>
    </w:p>
    <w:p>
      <w:pPr>
        <w:snapToGrid w:val="0"/>
        <w:spacing w:line="600" w:lineRule="exact"/>
        <w:ind w:firstLineChars="200" w:firstLine="640"/>
        <w:rPr>
          <w:rFonts w:ascii="Times New Roman" w:hAnsi="Times New Roman"/>
          <w:color w:val="000000"/>
        </w:rPr>
      </w:pPr>
    </w:p>
    <w:p>
      <w:pPr>
        <w:snapToGrid w:val="0"/>
        <w:spacing w:line="600" w:lineRule="exact"/>
        <w:ind w:firstLineChars="200" w:firstLine="640"/>
        <w:rPr>
          <w:rFonts w:ascii="Times New Roman" w:hAnsi="Times New Roman"/>
          <w:color w:val="000000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Company>Lenovo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2022-07-05T03:55:00Z</dcterms:created>
  <dcterms:modified xsi:type="dcterms:W3CDTF">2022-07-05T03:59:00Z</dcterms:modified>
</cp:coreProperties>
</file>